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4FA45" w14:textId="77777777" w:rsidR="005A409F" w:rsidRDefault="005A409F"/>
    <w:p w14:paraId="6C721CFA" w14:textId="77777777" w:rsidR="005A409F" w:rsidRPr="005A409F" w:rsidRDefault="005A409F" w:rsidP="005A409F">
      <w:pPr>
        <w:jc w:val="right"/>
        <w:rPr>
          <w:b/>
        </w:rPr>
      </w:pPr>
      <w:r w:rsidRPr="005A409F">
        <w:rPr>
          <w:b/>
        </w:rPr>
        <w:t xml:space="preserve">Załącznik nr 1 </w:t>
      </w:r>
    </w:p>
    <w:p w14:paraId="70CEA2F2" w14:textId="3C5F0B4C" w:rsidR="005A409F" w:rsidRDefault="005A409F" w:rsidP="005A409F">
      <w:pPr>
        <w:tabs>
          <w:tab w:val="left" w:pos="426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</w:rPr>
        <w:t xml:space="preserve">     Lista czynności do wykonania w </w:t>
      </w:r>
      <w:r w:rsidR="009D26E1">
        <w:rPr>
          <w:b/>
        </w:rPr>
        <w:t>ramach zamówienia na</w:t>
      </w:r>
      <w:r w:rsidRPr="005A409F">
        <w:rPr>
          <w:b/>
        </w:rPr>
        <w:t xml:space="preserve"> usługi przeglądu, konserwacji sprzętu ppoż.</w:t>
      </w:r>
      <w:r w:rsidR="00A0095F">
        <w:rPr>
          <w:b/>
        </w:rPr>
        <w:t xml:space="preserve">                                 </w:t>
      </w:r>
      <w:r w:rsidRPr="005A409F">
        <w:rPr>
          <w:b/>
        </w:rPr>
        <w:t xml:space="preserve"> oraz opracowania</w:t>
      </w:r>
      <w:r w:rsidR="009D26E1">
        <w:rPr>
          <w:b/>
        </w:rPr>
        <w:t xml:space="preserve"> </w:t>
      </w:r>
      <w:r>
        <w:rPr>
          <w:b/>
          <w:sz w:val="24"/>
          <w:szCs w:val="24"/>
        </w:rPr>
        <w:t>i aktualizacji dokumentacji ppoż.</w:t>
      </w:r>
    </w:p>
    <w:tbl>
      <w:tblPr>
        <w:tblW w:w="10847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26"/>
        <w:gridCol w:w="1600"/>
        <w:gridCol w:w="50"/>
        <w:gridCol w:w="3724"/>
        <w:gridCol w:w="545"/>
        <w:gridCol w:w="785"/>
        <w:gridCol w:w="610"/>
        <w:gridCol w:w="807"/>
        <w:gridCol w:w="2200"/>
      </w:tblGrid>
      <w:tr w:rsidR="00F4423B" w:rsidRPr="00CD5146" w14:paraId="2AEF50BB" w14:textId="77777777" w:rsidTr="007C4E46">
        <w:trPr>
          <w:trHeight w:val="178"/>
        </w:trPr>
        <w:tc>
          <w:tcPr>
            <w:tcW w:w="2126" w:type="dxa"/>
            <w:gridSpan w:val="2"/>
            <w:vAlign w:val="center"/>
          </w:tcPr>
          <w:p w14:paraId="424E0F22" w14:textId="77777777" w:rsidR="00F4423B" w:rsidRPr="004365A8" w:rsidRDefault="00F4423B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0" w:type="dxa"/>
          </w:tcPr>
          <w:p w14:paraId="47A75083" w14:textId="77777777" w:rsidR="00F4423B" w:rsidRPr="004365A8" w:rsidRDefault="00F4423B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724" w:type="dxa"/>
            <w:vAlign w:val="center"/>
          </w:tcPr>
          <w:p w14:paraId="78C87E2A" w14:textId="77777777" w:rsidR="00F4423B" w:rsidRPr="004365A8" w:rsidRDefault="00F4423B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40" w:type="dxa"/>
            <w:gridSpan w:val="3"/>
          </w:tcPr>
          <w:p w14:paraId="3E9D0386" w14:textId="77777777" w:rsidR="00F4423B" w:rsidRPr="004365A8" w:rsidRDefault="00F4423B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007" w:type="dxa"/>
            <w:gridSpan w:val="2"/>
          </w:tcPr>
          <w:p w14:paraId="289D05AC" w14:textId="77777777" w:rsidR="00F4423B" w:rsidRPr="004365A8" w:rsidRDefault="00F442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D5146" w:rsidRPr="00CD5146" w14:paraId="07E7228C" w14:textId="77777777" w:rsidTr="004365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F8E715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p w14:paraId="1CC5DF9B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shd w:val="clear" w:color="auto" w:fill="D9D9D9"/>
            <w:vAlign w:val="center"/>
          </w:tcPr>
          <w:p w14:paraId="6E200204" w14:textId="77777777" w:rsidR="009D26E1" w:rsidRPr="004365A8" w:rsidRDefault="00CD5146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Budynek A</w:t>
            </w:r>
          </w:p>
        </w:tc>
        <w:tc>
          <w:tcPr>
            <w:tcW w:w="1417" w:type="dxa"/>
            <w:gridSpan w:val="2"/>
            <w:shd w:val="clear" w:color="auto" w:fill="D9D9D9"/>
            <w:vAlign w:val="center"/>
          </w:tcPr>
          <w:p w14:paraId="5CFA42F2" w14:textId="77777777" w:rsidR="009D26E1" w:rsidRPr="004365A8" w:rsidRDefault="00CD5146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Budynek B</w:t>
            </w:r>
          </w:p>
        </w:tc>
      </w:tr>
      <w:tr w:rsidR="00CD5146" w:rsidRPr="00CD5146" w14:paraId="2F41B8A0" w14:textId="77777777" w:rsidTr="004365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shd w:val="clear" w:color="auto" w:fill="D9D9D9"/>
            <w:vAlign w:val="center"/>
          </w:tcPr>
          <w:p w14:paraId="49250629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374" w:type="dxa"/>
            <w:gridSpan w:val="3"/>
            <w:shd w:val="clear" w:color="auto" w:fill="D9D9D9"/>
            <w:vAlign w:val="center"/>
          </w:tcPr>
          <w:p w14:paraId="2C6A40AA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Usługa</w:t>
            </w:r>
          </w:p>
        </w:tc>
        <w:tc>
          <w:tcPr>
            <w:tcW w:w="545" w:type="dxa"/>
            <w:shd w:val="clear" w:color="auto" w:fill="D9D9D9"/>
            <w:vAlign w:val="center"/>
          </w:tcPr>
          <w:p w14:paraId="033F9792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ilość</w:t>
            </w:r>
          </w:p>
          <w:p w14:paraId="39A67F6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[szt]</w:t>
            </w:r>
          </w:p>
        </w:tc>
        <w:tc>
          <w:tcPr>
            <w:tcW w:w="785" w:type="dxa"/>
            <w:shd w:val="clear" w:color="auto" w:fill="D9D9D9"/>
            <w:vAlign w:val="center"/>
          </w:tcPr>
          <w:p w14:paraId="4372513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rok</w:t>
            </w:r>
          </w:p>
        </w:tc>
        <w:tc>
          <w:tcPr>
            <w:tcW w:w="610" w:type="dxa"/>
            <w:shd w:val="clear" w:color="auto" w:fill="D9D9D9"/>
            <w:vAlign w:val="center"/>
          </w:tcPr>
          <w:p w14:paraId="13A25757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ilość</w:t>
            </w:r>
          </w:p>
          <w:p w14:paraId="55FD6C7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[szt]</w:t>
            </w:r>
          </w:p>
        </w:tc>
        <w:tc>
          <w:tcPr>
            <w:tcW w:w="807" w:type="dxa"/>
            <w:shd w:val="clear" w:color="auto" w:fill="D9D9D9"/>
            <w:vAlign w:val="center"/>
          </w:tcPr>
          <w:p w14:paraId="7636CC1F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b/>
                <w:color w:val="000000"/>
                <w:sz w:val="18"/>
                <w:szCs w:val="18"/>
              </w:rPr>
              <w:t>rok</w:t>
            </w:r>
          </w:p>
        </w:tc>
      </w:tr>
      <w:tr w:rsidR="00CD5146" w:rsidRPr="00CD5146" w14:paraId="3163D066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20"/>
        </w:trPr>
        <w:tc>
          <w:tcPr>
            <w:tcW w:w="526" w:type="dxa"/>
            <w:vMerge w:val="restart"/>
            <w:vAlign w:val="center"/>
          </w:tcPr>
          <w:p w14:paraId="0754933E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52A15F14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 xml:space="preserve">Aktualizacja Instrukcji Bezpieczeństwa Pożarowego dla WUP przy ulicy Wólczańskiej w Łodzi zgodnie z §6 ust. 1 Rozp. MSWiA z dnia 7.06.2010 (Dz.U.2010.109.719) </w:t>
            </w:r>
          </w:p>
        </w:tc>
        <w:tc>
          <w:tcPr>
            <w:tcW w:w="545" w:type="dxa"/>
            <w:vMerge w:val="restart"/>
            <w:vAlign w:val="center"/>
          </w:tcPr>
          <w:p w14:paraId="13C96CE4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85" w:type="dxa"/>
            <w:vAlign w:val="center"/>
          </w:tcPr>
          <w:p w14:paraId="31632C83" w14:textId="3ECD3AEA" w:rsidR="009D26E1" w:rsidRPr="004365A8" w:rsidRDefault="00A51FAD" w:rsidP="00A51FAD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2025</w:t>
            </w:r>
          </w:p>
        </w:tc>
        <w:tc>
          <w:tcPr>
            <w:tcW w:w="610" w:type="dxa"/>
            <w:vMerge w:val="restart"/>
            <w:vAlign w:val="center"/>
          </w:tcPr>
          <w:p w14:paraId="44AF7495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7" w:type="dxa"/>
            <w:vAlign w:val="center"/>
          </w:tcPr>
          <w:p w14:paraId="1A184D8D" w14:textId="5BA06FD1" w:rsidR="009D26E1" w:rsidRPr="004365A8" w:rsidRDefault="00A51FAD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CD5146" w:rsidRPr="00CD5146" w14:paraId="464E9B52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20"/>
        </w:trPr>
        <w:tc>
          <w:tcPr>
            <w:tcW w:w="526" w:type="dxa"/>
            <w:vMerge/>
            <w:vAlign w:val="center"/>
          </w:tcPr>
          <w:p w14:paraId="5D3E990B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4582197B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2B185F6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61108C1E" w14:textId="44424E93" w:rsidR="009D26E1" w:rsidRPr="004365A8" w:rsidRDefault="00A51FAD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10" w:type="dxa"/>
            <w:vMerge/>
            <w:vAlign w:val="center"/>
          </w:tcPr>
          <w:p w14:paraId="52DC405A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669D9449" w14:textId="6D2080D7" w:rsidR="009D26E1" w:rsidRPr="004365A8" w:rsidRDefault="00A51FAD" w:rsidP="00A51FAD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 xml:space="preserve">  2026</w:t>
            </w:r>
          </w:p>
        </w:tc>
      </w:tr>
      <w:tr w:rsidR="00CD5146" w:rsidRPr="00CD5146" w14:paraId="7FE81AA5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20"/>
        </w:trPr>
        <w:tc>
          <w:tcPr>
            <w:tcW w:w="526" w:type="dxa"/>
            <w:vMerge/>
            <w:vAlign w:val="center"/>
          </w:tcPr>
          <w:p w14:paraId="50A97AB8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10D5CE32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75541679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35EF16A5" w14:textId="7C199331" w:rsidR="009D26E1" w:rsidRPr="004365A8" w:rsidRDefault="00A51FAD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610" w:type="dxa"/>
            <w:vMerge/>
            <w:vAlign w:val="center"/>
          </w:tcPr>
          <w:p w14:paraId="304486FE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4FFB89F3" w14:textId="22036074" w:rsidR="009D26E1" w:rsidRPr="004365A8" w:rsidRDefault="00A51FAD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CD5146" w:rsidRPr="00CD5146" w14:paraId="6C1D3EDF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 w:val="restart"/>
            <w:vAlign w:val="center"/>
          </w:tcPr>
          <w:p w14:paraId="06533750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417DA5D8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 xml:space="preserve">Pomiary natężenia i równomierności oświetlenia awaryjnego ewakuacyjnego na zgodność z PN-EN 1838:2005 na podstawie §16 ust.2 pkt 6 w zw. z §15 ust.5 Rozp. MSWiA z dnia 7.06.2010 (Dz.U.2010.109.719) </w:t>
            </w:r>
          </w:p>
        </w:tc>
        <w:tc>
          <w:tcPr>
            <w:tcW w:w="545" w:type="dxa"/>
            <w:vMerge w:val="restart"/>
            <w:vAlign w:val="center"/>
          </w:tcPr>
          <w:p w14:paraId="0C5028A3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785" w:type="dxa"/>
            <w:vAlign w:val="center"/>
          </w:tcPr>
          <w:p w14:paraId="7A33AE88" w14:textId="6A8F1394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2BBB95E3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07" w:type="dxa"/>
            <w:vAlign w:val="center"/>
          </w:tcPr>
          <w:p w14:paraId="5671F051" w14:textId="72B41A21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6F16DFD1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/>
            <w:vAlign w:val="center"/>
          </w:tcPr>
          <w:p w14:paraId="3901DCFC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17877FA6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4438BD73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4FC8BCD1" w14:textId="22EE1A5A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6300882C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2674EF8E" w14:textId="03D54385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4C95C84A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7"/>
        </w:trPr>
        <w:tc>
          <w:tcPr>
            <w:tcW w:w="526" w:type="dxa"/>
            <w:vMerge/>
            <w:vAlign w:val="center"/>
          </w:tcPr>
          <w:p w14:paraId="5B954ED5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09FE2F9A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7774E1D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5A08C61A" w14:textId="76987896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1DA4BAEC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53A3C3A7" w14:textId="3ED497EC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1690A7D9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 w:val="restart"/>
            <w:vAlign w:val="center"/>
          </w:tcPr>
          <w:p w14:paraId="2931AAEE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71774373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Przegląd urządzenia oddymiającego zgodnie z par 2 ust 1 pkt 9 i par 3 ust. 2 i 3 Rozp MSWiA z 7 czerwca 2010 (Dz.U. 109 poz. 719)</w:t>
            </w:r>
          </w:p>
        </w:tc>
        <w:tc>
          <w:tcPr>
            <w:tcW w:w="545" w:type="dxa"/>
            <w:vMerge w:val="restart"/>
            <w:vAlign w:val="center"/>
          </w:tcPr>
          <w:p w14:paraId="07638E9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85" w:type="dxa"/>
            <w:vAlign w:val="center"/>
          </w:tcPr>
          <w:p w14:paraId="1160E07D" w14:textId="57935ABF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4C90DB6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7" w:type="dxa"/>
            <w:vAlign w:val="center"/>
          </w:tcPr>
          <w:p w14:paraId="6C3DB689" w14:textId="45287F32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091064C9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4683EFE5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4E9709A5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1359D689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78880634" w14:textId="568D3BB8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1563013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12315180" w14:textId="6BCD32FD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7A7A3E67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54F718DB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26817F59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50FF417D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6B802F2D" w14:textId="39A67F59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2F9EB83A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770E4BAE" w14:textId="7783FA0C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53748E8A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 w:val="restart"/>
            <w:vAlign w:val="center"/>
          </w:tcPr>
          <w:p w14:paraId="3EB900B6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5A5D135E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Przegląd kurtyny dymowej/ drzwi/ bramy przeciwpożarowej/ innego zamknięcia przeciwpożarowego zgodnie z par 2 ust 1 pkt 9 i par 3 ust. 2 i 3 Rozp MSWiA z 7 czerwca 2010 (Dz.U. 109 poz. 719)</w:t>
            </w:r>
          </w:p>
        </w:tc>
        <w:tc>
          <w:tcPr>
            <w:tcW w:w="545" w:type="dxa"/>
            <w:vMerge w:val="restart"/>
            <w:vAlign w:val="center"/>
          </w:tcPr>
          <w:p w14:paraId="3FBCE167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85" w:type="dxa"/>
            <w:vAlign w:val="center"/>
          </w:tcPr>
          <w:p w14:paraId="4C20079B" w14:textId="68262C01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03D0A153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07" w:type="dxa"/>
            <w:vAlign w:val="center"/>
          </w:tcPr>
          <w:p w14:paraId="75C9A2B9" w14:textId="6C01F1D3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0A41DE4B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/>
            <w:vAlign w:val="center"/>
          </w:tcPr>
          <w:p w14:paraId="398D1D60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75ACAC29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7C559B4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7B31D7EA" w14:textId="288982CD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42351AFA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0A58C31D" w14:textId="2214274B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0A0A2BA6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7"/>
        </w:trPr>
        <w:tc>
          <w:tcPr>
            <w:tcW w:w="526" w:type="dxa"/>
            <w:vMerge/>
            <w:vAlign w:val="center"/>
          </w:tcPr>
          <w:p w14:paraId="1BF9A3E9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5311F21E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728245E2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0ABFD8E7" w14:textId="465C43D3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7CF0DBAC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3F2859CF" w14:textId="4139FEC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09432A9B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 w:val="restart"/>
            <w:vAlign w:val="center"/>
          </w:tcPr>
          <w:p w14:paraId="433943CA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06EA76FA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Badanie Przeciwpożarowego Wyłącznika Prądu zgodnie z par 2 ust 1 pkt 9 i par 3 ust. 2 Rozp MSWiA z 7 czerwca 2010 (Dz.U. 109 poz. 719)</w:t>
            </w:r>
          </w:p>
        </w:tc>
        <w:tc>
          <w:tcPr>
            <w:tcW w:w="545" w:type="dxa"/>
            <w:vMerge w:val="restart"/>
            <w:vAlign w:val="center"/>
          </w:tcPr>
          <w:p w14:paraId="6BE2F915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85" w:type="dxa"/>
            <w:vAlign w:val="center"/>
          </w:tcPr>
          <w:p w14:paraId="7D7A9788" w14:textId="10AF71C1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631434D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7" w:type="dxa"/>
            <w:vAlign w:val="center"/>
          </w:tcPr>
          <w:p w14:paraId="193B0BDF" w14:textId="7398E92A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690EB168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70C61F73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7BB15FE2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5EB84A8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5F0FE665" w14:textId="178CFD12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0006AA3B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1ABD3E60" w14:textId="4B0C1F69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7658324A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73B8C3A9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12372548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689DEA6F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0D3795C5" w14:textId="1310DDED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28795A32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5285E969" w14:textId="35111696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34856B1C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 w:val="restart"/>
            <w:vAlign w:val="center"/>
          </w:tcPr>
          <w:p w14:paraId="308E3639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5AC2ED91" w14:textId="7A2FF829" w:rsidR="009D26E1" w:rsidRPr="004365A8" w:rsidRDefault="00390DC6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Przegląd</w:t>
            </w:r>
            <w:r w:rsidR="009D26E1" w:rsidRPr="004365A8">
              <w:rPr>
                <w:rFonts w:cs="Calibri"/>
                <w:color w:val="000000"/>
                <w:sz w:val="18"/>
                <w:szCs w:val="18"/>
              </w:rPr>
              <w:t xml:space="preserve"> koca gaśniczego zgodnie z par 3 ust. 2 i 3 Rozp MSWiA z 7 czerwca 2010 (Dz.U. 109 poz. 719) </w:t>
            </w:r>
          </w:p>
        </w:tc>
        <w:tc>
          <w:tcPr>
            <w:tcW w:w="545" w:type="dxa"/>
            <w:vMerge w:val="restart"/>
            <w:vAlign w:val="center"/>
          </w:tcPr>
          <w:p w14:paraId="0320AABF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85" w:type="dxa"/>
            <w:vAlign w:val="center"/>
          </w:tcPr>
          <w:p w14:paraId="1743176A" w14:textId="43B9B83C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03E5EF91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7" w:type="dxa"/>
            <w:vAlign w:val="center"/>
          </w:tcPr>
          <w:p w14:paraId="27243EAE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CD5146" w:rsidRPr="00CD5146" w14:paraId="6506DDFE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7D6AD91A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0717A2AD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30C86D7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141B2A12" w14:textId="3F9CA96D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7129B9D8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68CB9458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CD5146" w:rsidRPr="00CD5146" w14:paraId="20C19798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537F33F0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51F84FC9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3E19A471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78C65565" w14:textId="78D0FCE1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6BC6F56E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4AC272F9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CD5146" w:rsidRPr="00CD5146" w14:paraId="49658A2F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 w:val="restart"/>
            <w:vAlign w:val="center"/>
          </w:tcPr>
          <w:p w14:paraId="3DE17397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0D1C4BBD" w14:textId="6D304B21" w:rsidR="009D26E1" w:rsidRPr="004365A8" w:rsidRDefault="00862980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Przeglądy</w:t>
            </w:r>
            <w:r w:rsidR="009D26E1" w:rsidRPr="004365A8">
              <w:rPr>
                <w:rFonts w:cs="Calibri"/>
                <w:color w:val="000000"/>
                <w:sz w:val="18"/>
                <w:szCs w:val="18"/>
              </w:rPr>
              <w:t xml:space="preserve"> gaśnic zgodnie z par 3 ust. 2 i 3 Rozp MSWiA z 7 czerwca 2010 (Dz.U. 109 poz. 719), w tym liczone do bud. A,</w:t>
            </w:r>
          </w:p>
          <w:p w14:paraId="11924A02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CIiPKZ Piotrków Tryb.   2 szt.</w:t>
            </w:r>
          </w:p>
          <w:p w14:paraId="342DF8FB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CIiPKZ Sieradz         3 szt.</w:t>
            </w:r>
          </w:p>
          <w:p w14:paraId="62B58F3F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CIiPKZ Skierniewice     5 szt.</w:t>
            </w:r>
          </w:p>
          <w:p w14:paraId="6A454A76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Samochody służbowe   3 szt.</w:t>
            </w:r>
          </w:p>
        </w:tc>
        <w:tc>
          <w:tcPr>
            <w:tcW w:w="545" w:type="dxa"/>
            <w:vMerge w:val="restart"/>
            <w:vAlign w:val="center"/>
          </w:tcPr>
          <w:p w14:paraId="7F468441" w14:textId="77777777" w:rsidR="009D26E1" w:rsidRPr="004365A8" w:rsidRDefault="009D26E1" w:rsidP="00CD5146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 xml:space="preserve"> 26</w:t>
            </w:r>
          </w:p>
        </w:tc>
        <w:tc>
          <w:tcPr>
            <w:tcW w:w="785" w:type="dxa"/>
            <w:vAlign w:val="center"/>
          </w:tcPr>
          <w:p w14:paraId="4F4CA753" w14:textId="0E5EC503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4ABC02C7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07" w:type="dxa"/>
            <w:vAlign w:val="center"/>
          </w:tcPr>
          <w:p w14:paraId="29C36E27" w14:textId="57163F22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65595C94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577319DE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75B44FF5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216C62F1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561C719F" w14:textId="1E417D85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1C3FB1D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529626BF" w14:textId="67EA1132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2EB16E66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304188E3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5D2D2E40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2954398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1F2F8F37" w14:textId="305CE8D8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7E95FA08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5AA608EE" w14:textId="0E226304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2020BCA5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 w:val="restart"/>
            <w:vAlign w:val="center"/>
          </w:tcPr>
          <w:p w14:paraId="67E51405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5A3E0345" w14:textId="2DB558EF" w:rsidR="009D26E1" w:rsidRPr="004365A8" w:rsidRDefault="00F53B97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Badanie ciśnienia i wydajności</w:t>
            </w:r>
            <w:r w:rsidR="009D26E1" w:rsidRPr="004365A8">
              <w:rPr>
                <w:rFonts w:cs="Calibri"/>
                <w:color w:val="000000"/>
                <w:sz w:val="18"/>
                <w:szCs w:val="18"/>
              </w:rPr>
              <w:t xml:space="preserve">  hydrantu wewnętrznego zgodnie z par 2 ust 1 pkt 9 i par 3 ust. 2 i 3 Rozp MSWiA z 7 czerwca 2010 (Dz.U. 109 poz. 719)</w:t>
            </w:r>
          </w:p>
        </w:tc>
        <w:tc>
          <w:tcPr>
            <w:tcW w:w="545" w:type="dxa"/>
            <w:vMerge w:val="restart"/>
            <w:vAlign w:val="center"/>
          </w:tcPr>
          <w:p w14:paraId="181046C9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785" w:type="dxa"/>
            <w:vAlign w:val="center"/>
          </w:tcPr>
          <w:p w14:paraId="437842E5" w14:textId="1EB0AF9E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77AB15AB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07" w:type="dxa"/>
            <w:vAlign w:val="center"/>
          </w:tcPr>
          <w:p w14:paraId="796B3016" w14:textId="077B8B33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70DEFE75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22F1DB23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33709559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011E43B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01176DF0" w14:textId="79D39B8F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7AE15019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30CAD876" w14:textId="43E0535A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67633D73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35D4B54E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3C3C5345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7153410D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21F37866" w14:textId="1842D581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145EB175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0FCA8529" w14:textId="2FF8F84C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69BFEAAA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 w:val="restart"/>
            <w:vAlign w:val="center"/>
          </w:tcPr>
          <w:p w14:paraId="65395086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62D30629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Przegląd urządzenia odbiorczego alarmów pożarowych i urządzenia odbiorczego sygnałów uszkodzeniowych, zgodnie z par 2 ust 1 pkt 9 i par 3 ust. 2 i 3 Rozp MSWiA z 7 czerwca 2010 (Dz.U. 109 poz. 719)</w:t>
            </w:r>
          </w:p>
        </w:tc>
        <w:tc>
          <w:tcPr>
            <w:tcW w:w="545" w:type="dxa"/>
            <w:vMerge w:val="restart"/>
            <w:vAlign w:val="center"/>
          </w:tcPr>
          <w:p w14:paraId="54A038CC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785" w:type="dxa"/>
            <w:vAlign w:val="center"/>
          </w:tcPr>
          <w:p w14:paraId="21AFC52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10" w:type="dxa"/>
            <w:vMerge w:val="restart"/>
            <w:vAlign w:val="center"/>
          </w:tcPr>
          <w:p w14:paraId="6F2B10E1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7" w:type="dxa"/>
            <w:vAlign w:val="center"/>
          </w:tcPr>
          <w:p w14:paraId="62336BEA" w14:textId="3217A62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4679F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366157BD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/>
            <w:vAlign w:val="center"/>
          </w:tcPr>
          <w:p w14:paraId="029A62DD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77CF695C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6B09EDA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76EEFA8E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10" w:type="dxa"/>
            <w:vMerge/>
            <w:vAlign w:val="center"/>
          </w:tcPr>
          <w:p w14:paraId="490F002A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5F86185C" w14:textId="582D0362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6FB597AA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7"/>
        </w:trPr>
        <w:tc>
          <w:tcPr>
            <w:tcW w:w="526" w:type="dxa"/>
            <w:vMerge/>
            <w:vAlign w:val="center"/>
          </w:tcPr>
          <w:p w14:paraId="4F6FD117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0FB53A9F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3696A261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4BE03B0E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10" w:type="dxa"/>
            <w:vMerge/>
            <w:vAlign w:val="center"/>
          </w:tcPr>
          <w:p w14:paraId="74465D6D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4A7B1A87" w14:textId="421931A6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583E3A6C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 w:val="restart"/>
            <w:vAlign w:val="center"/>
          </w:tcPr>
          <w:p w14:paraId="248840CE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1A2AF5FB" w14:textId="50F5E801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 xml:space="preserve"> </w:t>
            </w:r>
            <w:r w:rsidR="00B74F97">
              <w:rPr>
                <w:rFonts w:cs="Calibri"/>
                <w:color w:val="000000"/>
                <w:sz w:val="18"/>
                <w:szCs w:val="18"/>
              </w:rPr>
              <w:t>P</w:t>
            </w:r>
            <w:r w:rsidRPr="004365A8">
              <w:rPr>
                <w:rFonts w:cs="Calibri"/>
                <w:color w:val="000000"/>
                <w:sz w:val="18"/>
                <w:szCs w:val="18"/>
              </w:rPr>
              <w:t xml:space="preserve">róba ciśnieniowa na maksymalne ciśnienie robocze węża hydrantu wewnętrznego zgodnie z par 2 ust 1 pkt 9 i par 3 ust. 4 Rozp MSWiA z 7 czerwca 2010 (Dz.U. 109 poz. 719) </w:t>
            </w:r>
          </w:p>
        </w:tc>
        <w:tc>
          <w:tcPr>
            <w:tcW w:w="545" w:type="dxa"/>
            <w:vMerge w:val="restart"/>
            <w:vAlign w:val="center"/>
          </w:tcPr>
          <w:p w14:paraId="7D2B5B2C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785" w:type="dxa"/>
            <w:vAlign w:val="center"/>
          </w:tcPr>
          <w:p w14:paraId="0355A1A5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10" w:type="dxa"/>
            <w:vMerge w:val="restart"/>
            <w:vAlign w:val="center"/>
          </w:tcPr>
          <w:p w14:paraId="0726F7C2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07" w:type="dxa"/>
            <w:vAlign w:val="center"/>
          </w:tcPr>
          <w:p w14:paraId="7CFB8585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CD5146" w:rsidRPr="00CD5146" w14:paraId="67103FB3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6"/>
        </w:trPr>
        <w:tc>
          <w:tcPr>
            <w:tcW w:w="526" w:type="dxa"/>
            <w:vMerge/>
            <w:vAlign w:val="center"/>
          </w:tcPr>
          <w:p w14:paraId="66542BDB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46235C9B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55A47D4D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2267C865" w14:textId="7437C806" w:rsidR="009D26E1" w:rsidRPr="004365A8" w:rsidRDefault="00701A4E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027F80DE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707F84A2" w14:textId="25E57598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6A6E56F1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87"/>
        </w:trPr>
        <w:tc>
          <w:tcPr>
            <w:tcW w:w="526" w:type="dxa"/>
            <w:vMerge/>
            <w:vAlign w:val="center"/>
          </w:tcPr>
          <w:p w14:paraId="7568A8BD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4B1E5E62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6717BC07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14953E0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10" w:type="dxa"/>
            <w:vMerge/>
            <w:vAlign w:val="center"/>
          </w:tcPr>
          <w:p w14:paraId="3C78373A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6AEB92DF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-</w:t>
            </w:r>
          </w:p>
        </w:tc>
      </w:tr>
      <w:tr w:rsidR="00CD5146" w:rsidRPr="00CD5146" w14:paraId="1F4FEF6B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 w:val="restart"/>
            <w:vAlign w:val="center"/>
          </w:tcPr>
          <w:p w14:paraId="260A44FA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7304F419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Konserwacja/ Naprawa gaśnicy</w:t>
            </w:r>
          </w:p>
        </w:tc>
        <w:tc>
          <w:tcPr>
            <w:tcW w:w="545" w:type="dxa"/>
            <w:vMerge w:val="restart"/>
            <w:vAlign w:val="center"/>
          </w:tcPr>
          <w:p w14:paraId="201555A6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85" w:type="dxa"/>
            <w:vAlign w:val="center"/>
          </w:tcPr>
          <w:p w14:paraId="6D8390CD" w14:textId="3CAB47E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6B56FDF5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07" w:type="dxa"/>
            <w:vAlign w:val="center"/>
          </w:tcPr>
          <w:p w14:paraId="03599904" w14:textId="7B4A413B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856CDE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6E3BD517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58A0A1DA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256E1B10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0C10F9C0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0249F26D" w14:textId="128845BA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69E5F17F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356E944B" w14:textId="4FACD2ED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72739551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  <w:vAlign w:val="center"/>
          </w:tcPr>
          <w:p w14:paraId="086AB704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  <w:vAlign w:val="center"/>
          </w:tcPr>
          <w:p w14:paraId="00FBB80C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53D0628D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7C618BEB" w14:textId="20BE3B58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4541B3BA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0498BC11" w14:textId="7C6E1DD0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  <w:tr w:rsidR="00CD5146" w:rsidRPr="00CD5146" w14:paraId="0195FAFD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 w:val="restart"/>
            <w:vAlign w:val="center"/>
          </w:tcPr>
          <w:p w14:paraId="573426A8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 w:val="restart"/>
            <w:vAlign w:val="center"/>
          </w:tcPr>
          <w:p w14:paraId="06BBD9F8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Konserwacja oświetlenia awaryjnego ewakuacyjnego</w:t>
            </w:r>
          </w:p>
        </w:tc>
        <w:tc>
          <w:tcPr>
            <w:tcW w:w="545" w:type="dxa"/>
            <w:vMerge w:val="restart"/>
            <w:vAlign w:val="center"/>
          </w:tcPr>
          <w:p w14:paraId="6FA5B7E3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85" w:type="dxa"/>
            <w:vAlign w:val="center"/>
          </w:tcPr>
          <w:p w14:paraId="438C7387" w14:textId="2AF3E3AD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4365A8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0" w:type="dxa"/>
            <w:vMerge w:val="restart"/>
            <w:vAlign w:val="center"/>
          </w:tcPr>
          <w:p w14:paraId="7E38E9D1" w14:textId="7777777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07" w:type="dxa"/>
            <w:vAlign w:val="center"/>
          </w:tcPr>
          <w:p w14:paraId="686EE6B7" w14:textId="39EE5442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</w:t>
            </w:r>
            <w:r w:rsidR="004365A8" w:rsidRPr="004365A8">
              <w:rPr>
                <w:rFonts w:cs="Calibri"/>
                <w:color w:val="000000"/>
                <w:sz w:val="18"/>
                <w:szCs w:val="18"/>
              </w:rPr>
              <w:t>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5</w:t>
            </w:r>
          </w:p>
        </w:tc>
      </w:tr>
      <w:tr w:rsidR="00CD5146" w:rsidRPr="00CD5146" w14:paraId="550CE897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</w:tcPr>
          <w:p w14:paraId="71CA5CBA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</w:tcPr>
          <w:p w14:paraId="7B543AD6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69622571" w14:textId="77777777" w:rsidR="009D26E1" w:rsidRPr="004365A8" w:rsidRDefault="009D26E1" w:rsidP="00CD5146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75434A12" w14:textId="5CFD8E65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0" w:type="dxa"/>
            <w:vMerge/>
            <w:vAlign w:val="center"/>
          </w:tcPr>
          <w:p w14:paraId="317D9591" w14:textId="77777777" w:rsidR="009D26E1" w:rsidRPr="004365A8" w:rsidRDefault="009D26E1" w:rsidP="00CD5146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39DFAD6C" w14:textId="6CFA339B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6</w:t>
            </w:r>
          </w:p>
        </w:tc>
      </w:tr>
      <w:tr w:rsidR="00CD5146" w:rsidRPr="00CD5146" w14:paraId="64965A46" w14:textId="77777777" w:rsidTr="007C4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200" w:type="dxa"/>
          <w:trHeight w:val="20"/>
        </w:trPr>
        <w:tc>
          <w:tcPr>
            <w:tcW w:w="526" w:type="dxa"/>
            <w:vMerge/>
          </w:tcPr>
          <w:p w14:paraId="6B43D952" w14:textId="77777777" w:rsidR="009D26E1" w:rsidRPr="004365A8" w:rsidRDefault="009D26E1" w:rsidP="00CD5146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sz w:val="18"/>
                <w:szCs w:val="18"/>
              </w:rPr>
            </w:pPr>
          </w:p>
        </w:tc>
        <w:tc>
          <w:tcPr>
            <w:tcW w:w="5374" w:type="dxa"/>
            <w:gridSpan w:val="3"/>
            <w:vMerge/>
          </w:tcPr>
          <w:p w14:paraId="24F51148" w14:textId="77777777" w:rsidR="009D26E1" w:rsidRPr="004365A8" w:rsidRDefault="009D26E1" w:rsidP="00CD5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545" w:type="dxa"/>
            <w:vMerge/>
            <w:vAlign w:val="center"/>
          </w:tcPr>
          <w:p w14:paraId="68A4BF9C" w14:textId="77777777" w:rsidR="009D26E1" w:rsidRPr="004365A8" w:rsidRDefault="009D26E1" w:rsidP="00CD5146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785" w:type="dxa"/>
            <w:vAlign w:val="center"/>
          </w:tcPr>
          <w:p w14:paraId="1357B651" w14:textId="450E0104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610" w:type="dxa"/>
            <w:vMerge/>
            <w:vAlign w:val="center"/>
          </w:tcPr>
          <w:p w14:paraId="26F9F175" w14:textId="77777777" w:rsidR="009D26E1" w:rsidRPr="004365A8" w:rsidRDefault="009D26E1" w:rsidP="00CD5146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Align w:val="center"/>
          </w:tcPr>
          <w:p w14:paraId="5DB0D98A" w14:textId="2BB9BF07" w:rsidR="009D26E1" w:rsidRPr="004365A8" w:rsidRDefault="009D26E1" w:rsidP="00CD5146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4365A8">
              <w:rPr>
                <w:rFonts w:cs="Calibri"/>
                <w:color w:val="000000"/>
                <w:sz w:val="18"/>
                <w:szCs w:val="18"/>
              </w:rPr>
              <w:t>202</w:t>
            </w:r>
            <w:r w:rsidR="00C0544B">
              <w:rPr>
                <w:rFonts w:cs="Calibri"/>
                <w:color w:val="000000"/>
                <w:sz w:val="18"/>
                <w:szCs w:val="18"/>
              </w:rPr>
              <w:t>7</w:t>
            </w:r>
          </w:p>
        </w:tc>
      </w:tr>
    </w:tbl>
    <w:p w14:paraId="771212C8" w14:textId="77777777" w:rsidR="00BD793A" w:rsidRDefault="00BD793A"/>
    <w:sectPr w:rsidR="00BD793A" w:rsidSect="009D26E1">
      <w:pgSz w:w="11926" w:h="16867"/>
      <w:pgMar w:top="565" w:right="565" w:bottom="284" w:left="565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F404E"/>
    <w:multiLevelType w:val="hybridMultilevel"/>
    <w:tmpl w:val="702499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82805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193"/>
    <w:rsid w:val="000A568D"/>
    <w:rsid w:val="000E7F54"/>
    <w:rsid w:val="001005A9"/>
    <w:rsid w:val="001E6E8D"/>
    <w:rsid w:val="0038787E"/>
    <w:rsid w:val="00390DC6"/>
    <w:rsid w:val="003E725C"/>
    <w:rsid w:val="00406D4D"/>
    <w:rsid w:val="004365A8"/>
    <w:rsid w:val="004549B7"/>
    <w:rsid w:val="004679F8"/>
    <w:rsid w:val="00576D0B"/>
    <w:rsid w:val="005A409F"/>
    <w:rsid w:val="00621F5D"/>
    <w:rsid w:val="006C7789"/>
    <w:rsid w:val="00701A4E"/>
    <w:rsid w:val="007C4E46"/>
    <w:rsid w:val="00856CDE"/>
    <w:rsid w:val="00862980"/>
    <w:rsid w:val="009D26E1"/>
    <w:rsid w:val="009F5193"/>
    <w:rsid w:val="00A0095F"/>
    <w:rsid w:val="00A51FAD"/>
    <w:rsid w:val="00A80DBE"/>
    <w:rsid w:val="00A84340"/>
    <w:rsid w:val="00B02228"/>
    <w:rsid w:val="00B24878"/>
    <w:rsid w:val="00B74F97"/>
    <w:rsid w:val="00B871CB"/>
    <w:rsid w:val="00BD793A"/>
    <w:rsid w:val="00C0544B"/>
    <w:rsid w:val="00C35303"/>
    <w:rsid w:val="00CD4B44"/>
    <w:rsid w:val="00CD5146"/>
    <w:rsid w:val="00CD7E3D"/>
    <w:rsid w:val="00D53A67"/>
    <w:rsid w:val="00DE46BF"/>
    <w:rsid w:val="00E00193"/>
    <w:rsid w:val="00EF5927"/>
    <w:rsid w:val="00F4423B"/>
    <w:rsid w:val="00F53B97"/>
    <w:rsid w:val="00F569BD"/>
    <w:rsid w:val="00FC0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3F4D3E"/>
  <w15:docId w15:val="{46DD37B0-04CE-4069-8BDA-3D29D487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1F5D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00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63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451</Words>
  <Characters>2102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Faktura</vt:lpstr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Faktura</dc:title>
  <dc:subject/>
  <dc:creator>FastReport</dc:creator>
  <cp:keywords/>
  <dc:description/>
  <cp:lastModifiedBy>Elżbieta Szewczyk</cp:lastModifiedBy>
  <cp:revision>12</cp:revision>
  <cp:lastPrinted>2025-09-23T07:15:00Z</cp:lastPrinted>
  <dcterms:created xsi:type="dcterms:W3CDTF">2025-09-23T07:17:00Z</dcterms:created>
  <dcterms:modified xsi:type="dcterms:W3CDTF">2025-09-23T11:45:00Z</dcterms:modified>
</cp:coreProperties>
</file>